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2C" w:rsidRPr="008E1262" w:rsidRDefault="00FB152C" w:rsidP="00FB152C">
      <w:pPr>
        <w:shd w:val="clear" w:color="auto" w:fill="FFFFFF"/>
        <w:spacing w:before="0" w:after="0" w:line="240" w:lineRule="auto"/>
        <w:ind w:firstLine="0"/>
        <w:contextualSpacing w:val="0"/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>TRƯỜNG ĐH Y DƯỢC CẦN THƠ</w:t>
      </w:r>
      <w:r>
        <w:rPr>
          <w:b/>
          <w:color w:val="222222"/>
          <w:sz w:val="22"/>
          <w:szCs w:val="22"/>
          <w:shd w:val="clear" w:color="auto" w:fill="FFFFFF"/>
        </w:rPr>
        <w:tab/>
      </w:r>
      <w:r>
        <w:rPr>
          <w:b/>
          <w:color w:val="222222"/>
          <w:sz w:val="22"/>
          <w:szCs w:val="22"/>
          <w:shd w:val="clear" w:color="auto" w:fill="FFFFFF"/>
        </w:rPr>
        <w:tab/>
      </w:r>
      <w:r w:rsidRPr="008E1262">
        <w:rPr>
          <w:b/>
          <w:color w:val="222222"/>
          <w:sz w:val="22"/>
          <w:szCs w:val="22"/>
          <w:shd w:val="clear" w:color="auto" w:fill="FFFFFF"/>
        </w:rPr>
        <w:t>CỘNG HÒA XÃ HỘI CHỦ NGHĨA VIỆT NAM</w:t>
      </w:r>
    </w:p>
    <w:p w:rsidR="00FB152C" w:rsidRPr="008E1262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b/>
          <w:color w:val="222222"/>
          <w:sz w:val="22"/>
          <w:szCs w:val="22"/>
          <w:shd w:val="clear" w:color="auto" w:fill="FFFFFF"/>
        </w:rPr>
      </w:pPr>
      <w:r w:rsidRPr="008E1262">
        <w:rPr>
          <w:b/>
          <w:color w:val="222222"/>
          <w:sz w:val="22"/>
          <w:szCs w:val="22"/>
          <w:u w:val="single"/>
          <w:shd w:val="clear" w:color="auto" w:fill="FFFFFF"/>
        </w:rPr>
        <w:t>ĐƠN VỊ HUẤN LUYỆN KỸ NĂNG</w:t>
      </w:r>
      <w:r>
        <w:rPr>
          <w:b/>
          <w:color w:val="222222"/>
          <w:sz w:val="22"/>
          <w:szCs w:val="22"/>
          <w:shd w:val="clear" w:color="auto" w:fill="FFFFFF"/>
        </w:rPr>
        <w:tab/>
      </w:r>
      <w:r>
        <w:rPr>
          <w:b/>
          <w:color w:val="222222"/>
          <w:sz w:val="22"/>
          <w:szCs w:val="22"/>
          <w:shd w:val="clear" w:color="auto" w:fill="FFFFFF"/>
        </w:rPr>
        <w:tab/>
      </w:r>
      <w:r>
        <w:rPr>
          <w:b/>
          <w:color w:val="222222"/>
          <w:sz w:val="22"/>
          <w:szCs w:val="22"/>
          <w:shd w:val="clear" w:color="auto" w:fill="FFFFFF"/>
        </w:rPr>
        <w:tab/>
        <w:t xml:space="preserve">    </w:t>
      </w:r>
      <w:r w:rsidRPr="008E1262">
        <w:rPr>
          <w:b/>
          <w:color w:val="222222"/>
          <w:sz w:val="22"/>
          <w:szCs w:val="22"/>
          <w:u w:val="single"/>
          <w:shd w:val="clear" w:color="auto" w:fill="FFFFFF"/>
        </w:rPr>
        <w:t>Độc lập – Tự do – Hạnh Phúc</w:t>
      </w:r>
    </w:p>
    <w:p w:rsidR="00FB152C" w:rsidRDefault="00FB152C" w:rsidP="00FB152C">
      <w:pPr>
        <w:shd w:val="clear" w:color="auto" w:fill="FFFFFF"/>
        <w:spacing w:before="0" w:after="0" w:line="360" w:lineRule="auto"/>
        <w:ind w:left="4320"/>
        <w:contextualSpacing w:val="0"/>
        <w:rPr>
          <w:i/>
          <w:color w:val="222222"/>
          <w:szCs w:val="28"/>
          <w:shd w:val="clear" w:color="auto" w:fill="FFFFFF"/>
        </w:rPr>
      </w:pPr>
      <w:r>
        <w:rPr>
          <w:i/>
          <w:color w:val="222222"/>
          <w:szCs w:val="28"/>
          <w:shd w:val="clear" w:color="auto" w:fill="FFFFFF"/>
        </w:rPr>
        <w:t xml:space="preserve">Cần Thơ, ngày     tháng     năm  </w:t>
      </w:r>
    </w:p>
    <w:p w:rsid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jc w:val="center"/>
        <w:rPr>
          <w:b/>
          <w:color w:val="222222"/>
          <w:szCs w:val="28"/>
          <w:shd w:val="clear" w:color="auto" w:fill="FFFFFF"/>
        </w:rPr>
      </w:pPr>
      <w:r>
        <w:rPr>
          <w:b/>
          <w:color w:val="222222"/>
          <w:szCs w:val="28"/>
          <w:shd w:val="clear" w:color="auto" w:fill="FFFFFF"/>
        </w:rPr>
        <w:t>KẾ HOẠCH</w:t>
      </w:r>
    </w:p>
    <w:p w:rsidR="00FB152C" w:rsidRP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jc w:val="center"/>
        <w:rPr>
          <w:b/>
          <w:color w:val="222222"/>
          <w:szCs w:val="28"/>
          <w:shd w:val="clear" w:color="auto" w:fill="FFFFFF"/>
        </w:rPr>
      </w:pPr>
      <w:r>
        <w:rPr>
          <w:b/>
          <w:color w:val="222222"/>
          <w:szCs w:val="28"/>
          <w:shd w:val="clear" w:color="auto" w:fill="FFFFFF"/>
        </w:rPr>
        <w:t>Về việc nộp bài tập tự học Tiền lâm sàng I học kỳ 2 năm học 2019-2020</w:t>
      </w:r>
    </w:p>
    <w:p w:rsidR="00CB0E46" w:rsidRDefault="00FB152C" w:rsidP="00FB152C">
      <w:pPr>
        <w:spacing w:before="0" w:after="0" w:line="360" w:lineRule="auto"/>
        <w:ind w:firstLine="0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Sinh viên thực hiện bài tập tự học</w:t>
      </w:r>
      <w:r>
        <w:rPr>
          <w:color w:val="222222"/>
          <w:szCs w:val="28"/>
          <w:shd w:val="clear" w:color="auto" w:fill="FFFFFF"/>
        </w:rPr>
        <w:t xml:space="preserve"> theo tổ tự học, tổ trưởng tập hợp bài của các thành viên vào 1 file </w:t>
      </w:r>
      <w:r>
        <w:rPr>
          <w:color w:val="222222"/>
          <w:szCs w:val="28"/>
          <w:shd w:val="clear" w:color="auto" w:fill="FFFFFF"/>
        </w:rPr>
        <w:t xml:space="preserve">ở dạng .doc hoặc .docx, gửi về </w:t>
      </w:r>
      <w:r w:rsidRPr="000A5B8E">
        <w:rPr>
          <w:i/>
          <w:color w:val="222222"/>
          <w:szCs w:val="28"/>
          <w:shd w:val="clear" w:color="auto" w:fill="FFFFFF"/>
        </w:rPr>
        <w:t>Phiếu nộp bài tập tự học</w:t>
      </w:r>
      <w:r>
        <w:rPr>
          <w:color w:val="222222"/>
          <w:szCs w:val="28"/>
          <w:shd w:val="clear" w:color="auto" w:fill="FFFFFF"/>
        </w:rPr>
        <w:t>.</w:t>
      </w:r>
    </w:p>
    <w:p w:rsidR="00FB152C" w:rsidRPr="00705477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b/>
          <w:color w:val="222222"/>
          <w:szCs w:val="28"/>
          <w:shd w:val="clear" w:color="auto" w:fill="FFFFFF"/>
        </w:rPr>
      </w:pPr>
      <w:r>
        <w:rPr>
          <w:b/>
          <w:color w:val="222222"/>
          <w:szCs w:val="28"/>
          <w:shd w:val="clear" w:color="auto" w:fill="FFFFFF"/>
        </w:rPr>
        <w:t xml:space="preserve">1. </w:t>
      </w:r>
      <w:r>
        <w:rPr>
          <w:b/>
          <w:color w:val="222222"/>
          <w:szCs w:val="28"/>
          <w:shd w:val="clear" w:color="auto" w:fill="FFFFFF"/>
        </w:rPr>
        <w:t>Nội dung bài tập tự học</w:t>
      </w:r>
    </w:p>
    <w:p w:rsid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</w:rPr>
      </w:pPr>
      <w:r>
        <w:rPr>
          <w:color w:val="222222"/>
          <w:szCs w:val="28"/>
        </w:rPr>
        <w:t>2.2.1. Vẽ sơ đồ hạch ngoại vi vùng đầu mặt cổ</w:t>
      </w:r>
    </w:p>
    <w:p w:rsid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</w:rPr>
      </w:pPr>
      <w:r>
        <w:rPr>
          <w:color w:val="222222"/>
          <w:szCs w:val="28"/>
        </w:rPr>
        <w:t>2.2.2. Vẽ sơ đồ hạch ngoại vi vùng nách</w:t>
      </w:r>
    </w:p>
    <w:p w:rsid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</w:rPr>
      </w:pPr>
      <w:r>
        <w:rPr>
          <w:color w:val="222222"/>
          <w:szCs w:val="28"/>
        </w:rPr>
        <w:t>2.2.3. Vẽ sơ đồ hạch ngoại vi vùng bẹn</w:t>
      </w:r>
    </w:p>
    <w:p w:rsidR="00FB152C" w:rsidRPr="00D82135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</w:rPr>
      </w:pPr>
      <w:r>
        <w:rPr>
          <w:color w:val="222222"/>
          <w:szCs w:val="28"/>
        </w:rPr>
        <w:t>2.2.4. Vẽ sơ đồ tư duy hoặc infographic các nội dung khám toàn trạng</w:t>
      </w:r>
    </w:p>
    <w:p w:rsidR="00FB152C" w:rsidRPr="00D82135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</w:rPr>
      </w:pPr>
      <w:r>
        <w:rPr>
          <w:color w:val="222222"/>
          <w:szCs w:val="28"/>
        </w:rPr>
        <w:t>2.3.</w:t>
      </w:r>
      <w:r w:rsidRPr="00D82135">
        <w:rPr>
          <w:color w:val="222222"/>
          <w:szCs w:val="28"/>
        </w:rPr>
        <w:t>1. Vẽ sơ đồ tư duy khám tim</w:t>
      </w:r>
    </w:p>
    <w:p w:rsidR="00FB152C" w:rsidRPr="00D82135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</w:rPr>
      </w:pPr>
      <w:r>
        <w:rPr>
          <w:color w:val="222222"/>
          <w:szCs w:val="28"/>
        </w:rPr>
        <w:t>2.4.</w:t>
      </w:r>
      <w:r w:rsidRPr="00D82135">
        <w:rPr>
          <w:color w:val="222222"/>
          <w:szCs w:val="28"/>
        </w:rPr>
        <w:t>1. Vẽ</w:t>
      </w:r>
      <w:r>
        <w:rPr>
          <w:color w:val="222222"/>
          <w:szCs w:val="28"/>
        </w:rPr>
        <w:t xml:space="preserve"> sơ đồ tư duy hoặc infographic k</w:t>
      </w:r>
      <w:r w:rsidRPr="00D82135">
        <w:rPr>
          <w:color w:val="222222"/>
          <w:szCs w:val="28"/>
        </w:rPr>
        <w:t>hám phổi thành ngực trước (nhìn, sờ, gõ</w:t>
      </w:r>
      <w:r>
        <w:rPr>
          <w:color w:val="222222"/>
          <w:szCs w:val="28"/>
        </w:rPr>
        <w:t xml:space="preserve"> </w:t>
      </w:r>
      <w:r w:rsidRPr="00D82135">
        <w:rPr>
          <w:color w:val="222222"/>
          <w:szCs w:val="28"/>
        </w:rPr>
        <w:t>nghe).</w:t>
      </w:r>
    </w:p>
    <w:p w:rsidR="00FB152C" w:rsidRPr="00D82135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</w:rPr>
      </w:pPr>
      <w:r>
        <w:rPr>
          <w:color w:val="222222"/>
          <w:szCs w:val="28"/>
        </w:rPr>
        <w:t>2.4.</w:t>
      </w:r>
      <w:r w:rsidRPr="00D82135">
        <w:rPr>
          <w:color w:val="222222"/>
          <w:szCs w:val="28"/>
        </w:rPr>
        <w:t>2. Vẽ</w:t>
      </w:r>
      <w:r>
        <w:rPr>
          <w:color w:val="222222"/>
          <w:szCs w:val="28"/>
        </w:rPr>
        <w:t xml:space="preserve"> sơ đồ tư duy hoặc infographic k</w:t>
      </w:r>
      <w:r w:rsidRPr="00D82135">
        <w:rPr>
          <w:color w:val="222222"/>
          <w:szCs w:val="28"/>
        </w:rPr>
        <w:t>hám phổi thành ngực sau (nhìn, sờ, gõ</w:t>
      </w:r>
      <w:r>
        <w:rPr>
          <w:color w:val="222222"/>
          <w:szCs w:val="28"/>
        </w:rPr>
        <w:t xml:space="preserve"> </w:t>
      </w:r>
      <w:r w:rsidRPr="00D82135">
        <w:rPr>
          <w:color w:val="222222"/>
          <w:szCs w:val="28"/>
        </w:rPr>
        <w:t>nghe).</w:t>
      </w:r>
    </w:p>
    <w:p w:rsid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</w:rPr>
      </w:pPr>
      <w:r>
        <w:rPr>
          <w:color w:val="222222"/>
          <w:szCs w:val="28"/>
        </w:rPr>
        <w:t>2.4.</w:t>
      </w:r>
      <w:r w:rsidRPr="00D82135">
        <w:rPr>
          <w:color w:val="222222"/>
          <w:szCs w:val="28"/>
        </w:rPr>
        <w:t>3. Vẽ và ghi chú các mốc giải phẫu th</w:t>
      </w:r>
      <w:r>
        <w:rPr>
          <w:color w:val="222222"/>
          <w:szCs w:val="28"/>
        </w:rPr>
        <w:t xml:space="preserve">ành ngực trước, thành ngực sau. </w:t>
      </w:r>
      <w:r w:rsidRPr="00D82135">
        <w:rPr>
          <w:color w:val="222222"/>
          <w:szCs w:val="28"/>
        </w:rPr>
        <w:t>Vẽ và ghi chú các thùy phổi tương ứng với thành ngực nhìn từ trước, từ sau, từ</w:t>
      </w:r>
      <w:r>
        <w:rPr>
          <w:color w:val="222222"/>
          <w:szCs w:val="28"/>
        </w:rPr>
        <w:t xml:space="preserve"> </w:t>
      </w:r>
      <w:r w:rsidRPr="00D82135">
        <w:rPr>
          <w:color w:val="222222"/>
          <w:szCs w:val="28"/>
        </w:rPr>
        <w:t>phải, từ trái.</w:t>
      </w:r>
    </w:p>
    <w:p w:rsid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2.5.1. V</w:t>
      </w:r>
      <w:r w:rsidRPr="00D82135">
        <w:rPr>
          <w:color w:val="222222"/>
          <w:szCs w:val="28"/>
          <w:shd w:val="clear" w:color="auto" w:fill="FFFFFF"/>
        </w:rPr>
        <w:t>ẽ hình cách chia vùng bụng thành 4 vùng, 9 vùng (chú thích tên các vùng) và tư thế bệnh nhân khi sờ bụng</w:t>
      </w:r>
      <w:r>
        <w:rPr>
          <w:color w:val="222222"/>
          <w:szCs w:val="28"/>
          <w:shd w:val="clear" w:color="auto" w:fill="FFFFFF"/>
        </w:rPr>
        <w:t>.</w:t>
      </w:r>
    </w:p>
    <w:p w:rsid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2.5.2. V</w:t>
      </w:r>
      <w:r w:rsidRPr="00D82135">
        <w:rPr>
          <w:color w:val="222222"/>
          <w:szCs w:val="28"/>
          <w:shd w:val="clear" w:color="auto" w:fill="FFFFFF"/>
        </w:rPr>
        <w:t>ẽ hình mô tả vị trí c</w:t>
      </w:r>
      <w:r>
        <w:rPr>
          <w:color w:val="222222"/>
          <w:szCs w:val="28"/>
          <w:shd w:val="clear" w:color="auto" w:fill="FFFFFF"/>
        </w:rPr>
        <w:t>ác điểm đau thành bụng trước (chú thích tên,</w:t>
      </w:r>
      <w:r w:rsidRPr="00D82135">
        <w:rPr>
          <w:color w:val="222222"/>
          <w:szCs w:val="28"/>
          <w:shd w:val="clear" w:color="auto" w:fill="FFFFFF"/>
        </w:rPr>
        <w:t xml:space="preserve"> vị trí điểm đau)</w:t>
      </w:r>
      <w:r>
        <w:rPr>
          <w:color w:val="222222"/>
          <w:szCs w:val="28"/>
          <w:shd w:val="clear" w:color="auto" w:fill="FFFFFF"/>
        </w:rPr>
        <w:t>.</w:t>
      </w:r>
    </w:p>
    <w:p w:rsid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2.5.3. V</w:t>
      </w:r>
      <w:r w:rsidRPr="00D82135">
        <w:rPr>
          <w:color w:val="222222"/>
          <w:szCs w:val="28"/>
          <w:shd w:val="clear" w:color="auto" w:fill="FFFFFF"/>
        </w:rPr>
        <w:t>ẽ hình mô tả cách xác định: các bờ của gan, thao tác sờ gan (có chú thích tên các mốc giải phẫu)</w:t>
      </w:r>
      <w:r>
        <w:rPr>
          <w:color w:val="222222"/>
          <w:szCs w:val="28"/>
          <w:shd w:val="clear" w:color="auto" w:fill="FFFFFF"/>
        </w:rPr>
        <w:t>.</w:t>
      </w:r>
    </w:p>
    <w:p w:rsid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2.5.4. V</w:t>
      </w:r>
      <w:r w:rsidRPr="00D82135">
        <w:rPr>
          <w:color w:val="222222"/>
          <w:szCs w:val="28"/>
          <w:shd w:val="clear" w:color="auto" w:fill="FFFFFF"/>
        </w:rPr>
        <w:t>ẽ hình mô tả các vị trí nghe: nhu động ruột, động mạch vùng bụng (có chú thích tên và vị trí các điểm nghe nhu động ruột, động mạch)</w:t>
      </w:r>
      <w:r>
        <w:rPr>
          <w:color w:val="222222"/>
          <w:szCs w:val="28"/>
          <w:shd w:val="clear" w:color="auto" w:fill="FFFFFF"/>
        </w:rPr>
        <w:t>.</w:t>
      </w:r>
    </w:p>
    <w:p w:rsid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lastRenderedPageBreak/>
        <w:t>2.5.5. V</w:t>
      </w:r>
      <w:r w:rsidRPr="00D82135">
        <w:rPr>
          <w:color w:val="222222"/>
          <w:szCs w:val="28"/>
          <w:shd w:val="clear" w:color="auto" w:fill="FFFFFF"/>
        </w:rPr>
        <w:t>ẽ hình mô tả thao tác gõ đục vùng thấp, gõ bụng tổng quát (có chú thích)</w:t>
      </w:r>
      <w:r>
        <w:rPr>
          <w:color w:val="222222"/>
          <w:szCs w:val="28"/>
          <w:shd w:val="clear" w:color="auto" w:fill="FFFFFF"/>
        </w:rPr>
        <w:t>.</w:t>
      </w:r>
    </w:p>
    <w:p w:rsidR="00FB152C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2.5.6. V</w:t>
      </w:r>
      <w:r w:rsidRPr="00D82135">
        <w:rPr>
          <w:color w:val="222222"/>
          <w:szCs w:val="28"/>
          <w:shd w:val="clear" w:color="auto" w:fill="FFFFFF"/>
        </w:rPr>
        <w:t>ẽ hình mô tả thao tác phản ứng dội, murphy, forthegrill (có chú thích)</w:t>
      </w:r>
      <w:r>
        <w:rPr>
          <w:color w:val="222222"/>
          <w:szCs w:val="28"/>
          <w:shd w:val="clear" w:color="auto" w:fill="FFFFFF"/>
        </w:rPr>
        <w:t>.</w:t>
      </w:r>
    </w:p>
    <w:p w:rsidR="00FB152C" w:rsidRPr="00D82135" w:rsidRDefault="00FB152C" w:rsidP="00FB152C">
      <w:pPr>
        <w:shd w:val="clear" w:color="auto" w:fill="FFFFFF"/>
        <w:spacing w:before="0" w:after="0" w:line="360" w:lineRule="auto"/>
        <w:ind w:firstLine="0"/>
        <w:contextualSpacing w:val="0"/>
        <w:rPr>
          <w:b/>
          <w:color w:val="222222"/>
          <w:szCs w:val="28"/>
        </w:rPr>
      </w:pPr>
      <w:r>
        <w:rPr>
          <w:b/>
          <w:color w:val="222222"/>
          <w:szCs w:val="28"/>
        </w:rPr>
        <w:t>2</w:t>
      </w:r>
      <w:r w:rsidRPr="008802FF">
        <w:rPr>
          <w:b/>
          <w:color w:val="222222"/>
          <w:szCs w:val="28"/>
        </w:rPr>
        <w:t>. Nội dung phân công bài tập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895"/>
        <w:gridCol w:w="1440"/>
        <w:gridCol w:w="1620"/>
        <w:gridCol w:w="1620"/>
      </w:tblGrid>
      <w:tr w:rsidR="00FB152C" w:rsidTr="000C7069">
        <w:trPr>
          <w:jc w:val="center"/>
        </w:trPr>
        <w:tc>
          <w:tcPr>
            <w:tcW w:w="948" w:type="dxa"/>
          </w:tcPr>
          <w:p w:rsidR="00FB152C" w:rsidRPr="003D6E81" w:rsidRDefault="00FB152C" w:rsidP="000C7069">
            <w:pPr>
              <w:spacing w:before="0" w:after="0"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Nhóm</w:t>
            </w:r>
          </w:p>
        </w:tc>
        <w:tc>
          <w:tcPr>
            <w:tcW w:w="895" w:type="dxa"/>
            <w:vAlign w:val="center"/>
          </w:tcPr>
          <w:p w:rsidR="00FB152C" w:rsidRPr="003D6E81" w:rsidRDefault="00FB152C" w:rsidP="000C7069">
            <w:pPr>
              <w:spacing w:before="0" w:after="0" w:line="240" w:lineRule="auto"/>
              <w:ind w:firstLine="0"/>
              <w:jc w:val="center"/>
              <w:rPr>
                <w:b/>
                <w:szCs w:val="28"/>
              </w:rPr>
            </w:pPr>
            <w:r w:rsidRPr="003D6E81">
              <w:rPr>
                <w:b/>
                <w:szCs w:val="28"/>
              </w:rPr>
              <w:t>Tổ</w:t>
            </w:r>
          </w:p>
        </w:tc>
        <w:tc>
          <w:tcPr>
            <w:tcW w:w="1440" w:type="dxa"/>
            <w:vAlign w:val="center"/>
          </w:tcPr>
          <w:p w:rsidR="00FB152C" w:rsidRPr="003D6E81" w:rsidRDefault="00FB152C" w:rsidP="000C7069">
            <w:pPr>
              <w:spacing w:before="0" w:after="0" w:line="240" w:lineRule="auto"/>
              <w:ind w:firstLine="0"/>
              <w:jc w:val="center"/>
              <w:rPr>
                <w:b/>
                <w:szCs w:val="28"/>
              </w:rPr>
            </w:pPr>
            <w:r w:rsidRPr="003D6E81">
              <w:rPr>
                <w:b/>
                <w:szCs w:val="28"/>
              </w:rPr>
              <w:t>RHM</w:t>
            </w:r>
          </w:p>
        </w:tc>
        <w:tc>
          <w:tcPr>
            <w:tcW w:w="1620" w:type="dxa"/>
            <w:vAlign w:val="center"/>
          </w:tcPr>
          <w:p w:rsidR="00FB152C" w:rsidRPr="003D6E81" w:rsidRDefault="00FB152C" w:rsidP="000C7069">
            <w:pPr>
              <w:spacing w:before="0" w:after="0" w:line="240" w:lineRule="auto"/>
              <w:ind w:firstLine="0"/>
              <w:jc w:val="center"/>
              <w:rPr>
                <w:b/>
                <w:szCs w:val="28"/>
              </w:rPr>
            </w:pPr>
            <w:r w:rsidRPr="003D6E81">
              <w:rPr>
                <w:b/>
                <w:szCs w:val="28"/>
              </w:rPr>
              <w:t>YHDP</w:t>
            </w:r>
          </w:p>
        </w:tc>
        <w:tc>
          <w:tcPr>
            <w:tcW w:w="1620" w:type="dxa"/>
            <w:vAlign w:val="center"/>
          </w:tcPr>
          <w:p w:rsidR="00FB152C" w:rsidRPr="003D6E81" w:rsidRDefault="00FB152C" w:rsidP="000C7069">
            <w:pPr>
              <w:spacing w:before="0" w:after="0" w:line="240" w:lineRule="auto"/>
              <w:ind w:firstLine="0"/>
              <w:jc w:val="center"/>
              <w:rPr>
                <w:b/>
                <w:szCs w:val="28"/>
              </w:rPr>
            </w:pPr>
            <w:r w:rsidRPr="003D6E81">
              <w:rPr>
                <w:b/>
                <w:szCs w:val="28"/>
              </w:rPr>
              <w:t>YHCT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 w:val="restart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2.2.1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2.5.4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2.5.1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2.2.2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2.5.5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2.5.2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2.2.3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2.5.6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2.5.3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2.2.4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2.2.1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2.5.4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2.3.1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2.2.2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2.5.5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2.3.2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2.2.3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2.5.6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 w:val="restart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2.4.1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2.2.4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2.2.1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2.4.2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2.3.1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2.2.2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2.4.3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2.3.2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2.2.3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2.5.1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2.4.1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2.2.4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2.5.2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2.4.2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2.3.1</w:t>
            </w:r>
          </w:p>
        </w:tc>
      </w:tr>
      <w:tr w:rsidR="00FB152C" w:rsidTr="000C7069">
        <w:trPr>
          <w:jc w:val="center"/>
        </w:trPr>
        <w:tc>
          <w:tcPr>
            <w:tcW w:w="948" w:type="dxa"/>
            <w:vMerge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2.5.3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2.4.3</w:t>
            </w:r>
          </w:p>
        </w:tc>
        <w:tc>
          <w:tcPr>
            <w:tcW w:w="1620" w:type="dxa"/>
            <w:vAlign w:val="center"/>
          </w:tcPr>
          <w:p w:rsidR="00FB152C" w:rsidRDefault="00FB152C" w:rsidP="000C70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2.3.2</w:t>
            </w:r>
          </w:p>
        </w:tc>
      </w:tr>
    </w:tbl>
    <w:p w:rsidR="00FB152C" w:rsidRDefault="00FB152C" w:rsidP="00FB152C">
      <w:pPr>
        <w:ind w:firstLine="0"/>
      </w:pPr>
      <w:r w:rsidRPr="00FB152C">
        <w:rPr>
          <w:b/>
        </w:rPr>
        <w:t xml:space="preserve">3. Thời hạn nộp bài: </w:t>
      </w:r>
      <w:r>
        <w:t>trước ngày 18/5/2020</w:t>
      </w:r>
      <w:bookmarkStart w:id="0" w:name="_GoBack"/>
      <w:bookmarkEnd w:id="0"/>
    </w:p>
    <w:sectPr w:rsidR="00FB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2C"/>
    <w:rsid w:val="002763CB"/>
    <w:rsid w:val="00287D07"/>
    <w:rsid w:val="003E1448"/>
    <w:rsid w:val="0046317B"/>
    <w:rsid w:val="00620764"/>
    <w:rsid w:val="0071711B"/>
    <w:rsid w:val="00853348"/>
    <w:rsid w:val="00A83A64"/>
    <w:rsid w:val="00B27FAA"/>
    <w:rsid w:val="00BB43CE"/>
    <w:rsid w:val="00C9751C"/>
    <w:rsid w:val="00CB0E46"/>
    <w:rsid w:val="00D35BF3"/>
    <w:rsid w:val="00E07BC6"/>
    <w:rsid w:val="00F50E32"/>
    <w:rsid w:val="00F80506"/>
    <w:rsid w:val="00FB11A9"/>
    <w:rsid w:val="00F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08E63"/>
  <w15:chartTrackingRefBased/>
  <w15:docId w15:val="{DFB179E4-3758-4465-AD9A-D3755224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64"/>
    <w:pPr>
      <w:spacing w:before="120" w:after="120" w:line="288" w:lineRule="auto"/>
      <w:ind w:firstLine="720"/>
      <w:contextualSpacing/>
      <w:jc w:val="both"/>
    </w:pPr>
    <w:rPr>
      <w:rFonts w:ascii="Times New Roman" w:hAnsi="Times New Roman" w:cs="Times New Roman"/>
      <w:color w:val="000000" w:themeColor="text1"/>
      <w:sz w:val="28"/>
      <w:szCs w:val="24"/>
    </w:rPr>
  </w:style>
  <w:style w:type="paragraph" w:styleId="Heading1">
    <w:name w:val="heading 1"/>
    <w:aliases w:val="tên bài"/>
    <w:basedOn w:val="Normal"/>
    <w:next w:val="Normal"/>
    <w:link w:val="Heading1Char"/>
    <w:qFormat/>
    <w:rsid w:val="00A83A64"/>
    <w:pPr>
      <w:keepNext/>
      <w:spacing w:after="0" w:line="240" w:lineRule="auto"/>
      <w:jc w:val="center"/>
      <w:outlineLvl w:val="0"/>
    </w:pPr>
    <w:rPr>
      <w:b/>
      <w:szCs w:val="20"/>
    </w:rPr>
  </w:style>
  <w:style w:type="paragraph" w:styleId="Heading2">
    <w:name w:val="heading 2"/>
    <w:aliases w:val="mục 1"/>
    <w:basedOn w:val="Normal"/>
    <w:next w:val="Normal"/>
    <w:link w:val="Heading2Char"/>
    <w:qFormat/>
    <w:rsid w:val="00A83A64"/>
    <w:pPr>
      <w:keepNext/>
      <w:ind w:firstLine="0"/>
      <w:outlineLvl w:val="1"/>
    </w:pPr>
    <w:rPr>
      <w:b/>
      <w:szCs w:val="20"/>
    </w:rPr>
  </w:style>
  <w:style w:type="paragraph" w:styleId="Heading3">
    <w:name w:val="heading 3"/>
    <w:aliases w:val="mục 1.1"/>
    <w:basedOn w:val="Normal"/>
    <w:next w:val="Normal"/>
    <w:link w:val="Heading3Char"/>
    <w:qFormat/>
    <w:rsid w:val="00A83A64"/>
    <w:pPr>
      <w:keepNext/>
      <w:ind w:firstLine="0"/>
      <w:outlineLvl w:val="2"/>
    </w:pPr>
    <w:rPr>
      <w:b/>
      <w:szCs w:val="20"/>
    </w:rPr>
  </w:style>
  <w:style w:type="paragraph" w:styleId="Heading4">
    <w:name w:val="heading 4"/>
    <w:aliases w:val="1.1.1"/>
    <w:basedOn w:val="Normal"/>
    <w:next w:val="Normal"/>
    <w:link w:val="Heading4Char"/>
    <w:qFormat/>
    <w:rsid w:val="00C9751C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ên bài Char"/>
    <w:basedOn w:val="DefaultParagraphFont"/>
    <w:link w:val="Heading1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2Char">
    <w:name w:val="Heading 2 Char"/>
    <w:aliases w:val="mục 1 Char"/>
    <w:basedOn w:val="DefaultParagraphFont"/>
    <w:link w:val="Heading2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3Char">
    <w:name w:val="Heading 3 Char"/>
    <w:aliases w:val="mục 1.1 Char"/>
    <w:basedOn w:val="DefaultParagraphFont"/>
    <w:link w:val="Heading3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aliases w:val="1.1.1 Char"/>
    <w:basedOn w:val="DefaultParagraphFont"/>
    <w:link w:val="Heading4"/>
    <w:rsid w:val="00C9751C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table" w:styleId="TableGrid">
    <w:name w:val="Table Grid"/>
    <w:basedOn w:val="TableNormal"/>
    <w:uiPriority w:val="39"/>
    <w:rsid w:val="00FB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5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2020-05-11T12:01:00Z</dcterms:created>
  <dcterms:modified xsi:type="dcterms:W3CDTF">2020-05-11T12:07:00Z</dcterms:modified>
</cp:coreProperties>
</file>